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127</w:t>
      </w:r>
    </w:p>
    <w:p>
      <w:r>
        <w:t>Bundesgericht (BGE), 1983-01-10, DE</w:t>
      </w:r>
    </w:p>
    <w:p>
      <w:r>
        <w:rPr>
          <w:b/>
        </w:rPr>
        <w:t xml:space="preserve">Quelle: </w:t>
      </w:r>
      <w:r>
        <w:t>https://mcp.opencaselaw.ch/entscheid/bge_111 II 127</w:t>
      </w:r>
    </w:p>
    <w:p>
      <w:r>
        <w:t>FR: ATF 111 II 127</w:t>
      </w:r>
    </w:p>
    <w:p>
      <w:r>
        <w:t>IT: DTF 111 II 127</w:t>
      </w:r>
    </w:p>
    <w:p>
      <w:pPr>
        <w:pStyle w:val="Heading2"/>
      </w:pPr>
      <w:r>
        <w:t>Regeste</w:t>
      </w:r>
    </w:p>
    <w:p>
      <w:r>
        <w:t>Regeste Art. 44 lit. d OG; Art. 385 Abs. 3 ZGB. Gegen den Entscheid betreffend die Wiederherstellung der elterlichen Gewalt über mündige Kinder im Sinne von Art. 385 Abs. 3 ZGB ist die Berufung nicht zulässig.</w:t>
      </w:r>
    </w:p>
    <w:p>
      <w:pPr>
        <w:pStyle w:val="Heading2"/>
      </w:pPr>
      <w:r>
        <w:t>Volltext</w:t>
      </w:r>
    </w:p>
    <w:p>
      <w:r>
        <w:t>Urteilskopf 111 II 127 28. Auszug aus dem Urteil der II. Zivilabteilung vom 18. September 1985 i.S. F. gegen Direktion der Justiz des Kantons Zürich (Berufung) Regeste Art. 44 lit. d OG ; Art. 385 Abs. 3 ZGB . Gegen den Entscheid betreffend die Wiederherstellung der elterlichen Gewalt über mündige Kinder im Sinne von Art. 385 Abs. 3 ZGB ist die Berufung nicht zulässig. Sachverhalt ab Seite 127 BGE 111 II 127 S. 127 Mit Beschluss der Vormundschaftsbehörde La Chaux-de-Fonds vom 15. März 1966 wurde den Eheleuten F. die elterliche Gewalt über ihre Kinder L., geboren 1954, und R., geboren 1955, entzogen und für die Kinder eine Vormundschaft errichtet. Die Vormundschaftsbehörde Rüti/ZH übernahm mit Beschluss vom 10. Januar 1983 die nunmehr nach Art. 369 ZGB weiterbestehende Vormundschaft über R. F. zur Weiterführung. Mit Schreiben vom 20. August 1984 stellte der Vater H. F. bei der Vormundschaftsbehörde Rüti das Gesuch, die Vormundschaft über seinen Sohn R. sei aufzuheben und dieser im Sinne von Art. 385 Abs. 3 ZGB unter seine elterliche Gewalt zu stellen. Die Vormundschaftsbehörde wies dieses Gesuch mit Beschluss vom 6. September 1984 ab. Dieser Beschluss wurde auf Beschwerde des Gesuchstellers hin zunächst vom Bezirksrat Uster und sodann mit Verfügung vom 31. Juli 1985 von der Direktion der Justiz des Kantons Zürich bestätigt. Gegen diese Verfügung hat H. F. die Berufung an das BGE 111 II 127 S. 128 Bundesgericht erklärt. Die Justizdirektion beantragt, die Berufung abzuweisen, soweit darauf eingetreten werden könne. Das Bundesgericht tritt auf die Berufung nicht ein. Erwägungen Aus den Erwägungen: Gemäss der Rechtsmittelbelehrung der Justizdirektion ist gegen die angefochtene Verfügung im Sinne von Art. 44 lit. d OG die Berufung an das Bundesgericht zulässig. Es geht hier jedoch nicht um die Wiederherstellung der elterlichen Gewalt über ein unmündiges Kind im Sinne von Art. 313 Abs. 2 ZGB , auf welche Bestimmung in Art. 44 lit. d OG verwiesen wird. Der Berufungskläger verlangt vielmehr die Übertragung der elterlichen Gewalt über seinen unter Vormundschaft stehenden mündigen Sohn gestützt auf Art. 385 Abs. 3 ZGB . Es ist daher ungeachtet der in der angefochtenen Verfügung enthaltenen Rechtsmittelbelehrung zu prüfen, ob auch in einem solchen Fall gestützt auf Art. 44 lit. d OG die Berufung an das Bundesgericht zulässig sei. Art. 44 lit. d OG nennt bei der Umschreibung der Berufungsgründe der Entziehung und Wiederherstellung der elterlichen Gewalt nur die Art. 311 und 313 ZGB . Dies entspricht der vor der Revision des Kindesrechts geltenden Fassung, in welcher die durch diese beiden Bestimmungen ersetzten Art. 285 und 287 ZGB angegeben worden waren. Schon der Gesetzeswortlaut spricht somit dafür, dass eine Berufung im Falle des Art. 385 Abs. 3 ZGB nicht zulässig sein soll. Diese sich aus dem Gesetzestext ergebende Lösung wird durch den unterschiedlichen Charakter der Wiederherstellung der elterlichen Gewalt über unmündige Kinder im Sinne von Art. 313 ZGB und jener über mündige Kinder im Sinne von Art. 385 Abs. 3 ZGB bestätigt. Bei der ersten handelt es sich um die Aufhebung einer Kindesschutzmassnahme, die ihrerseits nur unter den strengen Voraussetzungen des Art. 311 Abs. 1 Ziff. 1 und 2 ZGB angeordnet werden darf; es ist im Rahmen von Art. 313 Abs. 2 ZGB somit zu prüfen, ob die Gründe für den Gewaltentzug inzwischen weggefallen sind. Im Falle von Art. 385 Abs. 3 ZGB ist hingegen von der zuständigen Vormundschaftsbehörde nach pflichtgemässem Ermessen abzuwägen, ob die Erstreckung der elterlichen Gewalt oder die Ernennung eines Vormundes den Interessen des Entmündigten besser diene (SCHNYDER/MURER, N. 33 ff. zu Art. 385 ZGB , mit Hinweisen). Es springt in die Augen, dass das Rechtsschutzbedürfnis im ersten Fall viel stärker ist als im BGE 111 II 127 S. 129 zweiten Fall und dass auch unter dem Gesichtspunkt der Justiziabilität ein grosser Unterschied zwischen den beiden Fällen besteht. In der Lehre wurde schon unter der Herrschaft des alten Kindesrechts mehrheitlich die Auffassung vertreten, dass im Falle der Wiederherstellung der elterlichen Gewalt über mündige Kinder die Berufung an das Bundesgericht ausgeschlossen sei (EGGER, N. 8, und KAUFMANN, N. 21 zu Art. 385 ZGB ; WURZBURGER, Les conditions objectives du recours en réforme au Tribunal fédéral, S. 44/45; BIRCHMEIER äussert sich nicht zu dieser Frage). Insbesondere GIESKER-ZELLER vertrat indessen den gegenteiligen Standpunkt (Die zivilrechtliche Beschwerde an das Schweizerische Bundesgericht, S. 57 f.). Seine Ausführungen vermögen die Zulassung einer Berufung zur Geltendmachung einer Verletzung von Art. 385 Abs. 3 ZGB heute aber umso weniger zu rechtfertigen, als bei der Revision des Kindesrechts der frühere Art. 273 Abs. 2 ZGB ("Mündige Kinder, die entmündigt werden, stehen unter der elterlichen Gewalt, wenn die zuständige Behörde es nicht für angezeigt erachtet, ihnen einen Vormund zu bestellen") gestrichen worden ist, womit jede Unklarheit darüber beseitigt ist, dass die elterliche Gewalt im Falle der Entmündigung volljähriger Kinder nicht etwa von Gesetzes wegen wieder auflebt (SCHNYDER/MURER, N. 33 zu Art. 385 ZGB ). Die neuste Lehrmeinung schliesst sich denn auch der herrschenden Doktrin an, wonach eine Berufung an das Bundesgericht im Falle von Art. 385 Abs. 3 ZGB ausgeschlossen sei (SCHNYDER/MURER, N. 45 zu Art. 385 ZGB ). Es besteht keinerlei Anlass, heute die in Art. 44 lit. d OG vorgesehene Berufungsmöglichkeit auf einen Fall auszudehnen, der im Gesetzestext nicht genannt ist und sich von dem dort ausdrücklich erwähnten Fall sowohl unter dem Gesichtspunkt des Rechtsschutzbedürfnisses als auch der Justiziabilität erheblich unterscheidet (vgl. auch BGE 95 II 302 ). Auf die Berufung kann aus diesen Gründen nicht eingetreten werden. Als staatsrechtliche Beschwerde kann die Eingabe des Berufungsklägers nicht entgegengenommen werden, da es an einer den Anforderungen von Art. 90 Abs. 1 lit. b OG genügenden Begründung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